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X="-289" w:tblpY="-89"/>
        <w:tblW w:w="15593" w:type="dxa"/>
        <w:tblLayout w:type="fixed"/>
        <w:tblLook w:val="04A0" w:firstRow="1" w:lastRow="0" w:firstColumn="1" w:lastColumn="0" w:noHBand="0" w:noVBand="1"/>
      </w:tblPr>
      <w:tblGrid>
        <w:gridCol w:w="2340"/>
        <w:gridCol w:w="3047"/>
        <w:gridCol w:w="10206"/>
      </w:tblGrid>
      <w:tr w:rsidR="005232CB" w:rsidRPr="00E14275" w14:paraId="6570161A" w14:textId="77777777" w:rsidTr="00AD2937">
        <w:tc>
          <w:tcPr>
            <w:tcW w:w="2340" w:type="dxa"/>
            <w:hideMark/>
          </w:tcPr>
          <w:p w14:paraId="77CD4A20" w14:textId="77777777" w:rsidR="005232CB" w:rsidRPr="00E14275" w:rsidRDefault="005232CB" w:rsidP="00AD2937">
            <w:pPr>
              <w:jc w:val="center"/>
              <w:rPr>
                <w:rFonts w:cstheme="minorHAnsi"/>
                <w:b/>
                <w:i/>
                <w:color w:val="0070C0"/>
              </w:rPr>
            </w:pPr>
            <w:r w:rsidRPr="00E14275">
              <w:rPr>
                <w:rFonts w:cstheme="minorHAnsi"/>
                <w:b/>
                <w:i/>
                <w:color w:val="0070C0"/>
              </w:rPr>
              <w:t>Thèmes</w:t>
            </w:r>
          </w:p>
        </w:tc>
        <w:tc>
          <w:tcPr>
            <w:tcW w:w="3047" w:type="dxa"/>
            <w:hideMark/>
          </w:tcPr>
          <w:p w14:paraId="19A1A9C9" w14:textId="77777777" w:rsidR="005232CB" w:rsidRPr="00E14275" w:rsidRDefault="005232CB" w:rsidP="00AD2937">
            <w:pPr>
              <w:jc w:val="center"/>
              <w:rPr>
                <w:rFonts w:cstheme="minorHAnsi"/>
                <w:b/>
                <w:color w:val="0070C0"/>
              </w:rPr>
            </w:pPr>
            <w:r w:rsidRPr="00E14275">
              <w:rPr>
                <w:rFonts w:cstheme="minorHAnsi"/>
                <w:b/>
                <w:color w:val="0070C0"/>
              </w:rPr>
              <w:t>Responsable</w:t>
            </w:r>
          </w:p>
        </w:tc>
        <w:tc>
          <w:tcPr>
            <w:tcW w:w="10206" w:type="dxa"/>
            <w:hideMark/>
          </w:tcPr>
          <w:p w14:paraId="69FB36BE" w14:textId="77777777" w:rsidR="005232CB" w:rsidRPr="00E14275" w:rsidRDefault="005232CB" w:rsidP="00AD2937">
            <w:pPr>
              <w:jc w:val="center"/>
              <w:rPr>
                <w:rFonts w:cstheme="minorHAnsi"/>
                <w:b/>
                <w:color w:val="0070C0"/>
              </w:rPr>
            </w:pPr>
            <w:r w:rsidRPr="00E14275">
              <w:rPr>
                <w:rFonts w:cstheme="minorHAnsi"/>
                <w:b/>
                <w:color w:val="0070C0"/>
              </w:rPr>
              <w:t>Base line</w:t>
            </w:r>
          </w:p>
        </w:tc>
      </w:tr>
      <w:tr w:rsidR="005232CB" w:rsidRPr="00E14275" w14:paraId="5C9E221A" w14:textId="77777777" w:rsidTr="00AD2937">
        <w:tc>
          <w:tcPr>
            <w:tcW w:w="2340" w:type="dxa"/>
            <w:hideMark/>
          </w:tcPr>
          <w:p w14:paraId="180CBFAF" w14:textId="7A6F58B0" w:rsidR="005232CB" w:rsidRPr="00E14275" w:rsidRDefault="00AD2937" w:rsidP="00AD2937">
            <w:pPr>
              <w:spacing w:line="240" w:lineRule="auto"/>
              <w:rPr>
                <w:rFonts w:cstheme="minorHAnsi"/>
                <w:i/>
                <w:color w:val="0070C0"/>
              </w:rPr>
            </w:pPr>
            <w:r>
              <w:rPr>
                <w:rFonts w:cstheme="minorHAnsi"/>
                <w:b/>
                <w:bCs/>
                <w:i/>
                <w:iCs/>
                <w:color w:val="0070C0"/>
              </w:rPr>
              <w:t xml:space="preserve">1 - </w:t>
            </w:r>
            <w:r w:rsidR="005232CB" w:rsidRPr="00E14275">
              <w:rPr>
                <w:rFonts w:cstheme="minorHAnsi"/>
                <w:b/>
                <w:bCs/>
                <w:i/>
                <w:iCs/>
                <w:color w:val="0070C0"/>
              </w:rPr>
              <w:t>Le travail – aujourd’hui et demain</w:t>
            </w:r>
            <w:r w:rsidR="005232CB" w:rsidRPr="00E14275">
              <w:rPr>
                <w:rFonts w:cstheme="minorHAnsi"/>
                <w:i/>
                <w:color w:val="0070C0"/>
              </w:rPr>
              <w:t> </w:t>
            </w:r>
          </w:p>
        </w:tc>
        <w:tc>
          <w:tcPr>
            <w:tcW w:w="3047" w:type="dxa"/>
            <w:hideMark/>
          </w:tcPr>
          <w:p w14:paraId="7A4F0456" w14:textId="77777777" w:rsidR="00AD2937" w:rsidRDefault="00AD2937" w:rsidP="00AD2937">
            <w:pPr>
              <w:spacing w:line="240" w:lineRule="auto"/>
              <w:jc w:val="center"/>
              <w:rPr>
                <w:rFonts w:cstheme="minorHAnsi"/>
                <w:sz w:val="18"/>
                <w:szCs w:val="18"/>
              </w:rPr>
            </w:pPr>
          </w:p>
          <w:p w14:paraId="3C22670E" w14:textId="77777777" w:rsidR="005232CB" w:rsidRPr="00E14275" w:rsidRDefault="005232CB" w:rsidP="00AD2937">
            <w:pPr>
              <w:spacing w:line="240" w:lineRule="auto"/>
              <w:jc w:val="center"/>
              <w:rPr>
                <w:rFonts w:cstheme="minorHAnsi"/>
                <w:sz w:val="18"/>
                <w:szCs w:val="18"/>
              </w:rPr>
            </w:pPr>
            <w:r w:rsidRPr="00E14275">
              <w:rPr>
                <w:rFonts w:cstheme="minorHAnsi"/>
                <w:sz w:val="18"/>
                <w:szCs w:val="18"/>
              </w:rPr>
              <w:t xml:space="preserve">Louis DUGAS </w:t>
            </w:r>
            <w:hyperlink r:id="rId5" w:history="1">
              <w:r w:rsidRPr="00E14275">
                <w:rPr>
                  <w:rStyle w:val="Lienhypertexte"/>
                  <w:rFonts w:cstheme="minorHAnsi"/>
                  <w:sz w:val="18"/>
                  <w:szCs w:val="18"/>
                </w:rPr>
                <w:t>louisdugas@gmail.com</w:t>
              </w:r>
            </w:hyperlink>
          </w:p>
        </w:tc>
        <w:tc>
          <w:tcPr>
            <w:tcW w:w="10206" w:type="dxa"/>
          </w:tcPr>
          <w:p w14:paraId="0ED84CB2" w14:textId="77777777" w:rsidR="005232CB" w:rsidRPr="00E14275" w:rsidRDefault="005232CB" w:rsidP="00AD2937">
            <w:pPr>
              <w:spacing w:line="240" w:lineRule="auto"/>
              <w:rPr>
                <w:rFonts w:cstheme="minorHAnsi"/>
                <w:sz w:val="20"/>
                <w:szCs w:val="20"/>
              </w:rPr>
            </w:pPr>
            <w:r w:rsidRPr="00E14275">
              <w:rPr>
                <w:rFonts w:cstheme="minorHAnsi"/>
                <w:sz w:val="20"/>
                <w:szCs w:val="20"/>
              </w:rPr>
              <w:t xml:space="preserve">Que devient le travail dans ce monde qui se digitalise ? </w:t>
            </w:r>
          </w:p>
          <w:p w14:paraId="1B02FC84" w14:textId="77777777" w:rsidR="005232CB" w:rsidRPr="00E14275" w:rsidRDefault="005232CB" w:rsidP="00AD2937">
            <w:pPr>
              <w:spacing w:line="240" w:lineRule="auto"/>
              <w:rPr>
                <w:rFonts w:cstheme="minorHAnsi"/>
                <w:sz w:val="20"/>
                <w:szCs w:val="20"/>
              </w:rPr>
            </w:pPr>
            <w:r w:rsidRPr="00E14275">
              <w:rPr>
                <w:rFonts w:cstheme="minorHAnsi"/>
                <w:sz w:val="20"/>
                <w:szCs w:val="20"/>
              </w:rPr>
              <w:t>La Pensée Sociale Chrétienne comme boussole pour éclairer le regard du dirigeant et de l’entrepreneur sur le travail, et nourrir son action.</w:t>
            </w:r>
          </w:p>
        </w:tc>
      </w:tr>
      <w:tr w:rsidR="005232CB" w:rsidRPr="00E14275" w14:paraId="4A4F38EB" w14:textId="77777777" w:rsidTr="00AD2937">
        <w:trPr>
          <w:trHeight w:val="1478"/>
        </w:trPr>
        <w:tc>
          <w:tcPr>
            <w:tcW w:w="2340" w:type="dxa"/>
            <w:hideMark/>
          </w:tcPr>
          <w:p w14:paraId="4EF419AE" w14:textId="77777777" w:rsidR="00AD2937" w:rsidRDefault="00AD2937" w:rsidP="00AD2937">
            <w:pPr>
              <w:spacing w:line="240" w:lineRule="auto"/>
              <w:rPr>
                <w:rFonts w:cstheme="minorHAnsi"/>
                <w:b/>
                <w:bCs/>
                <w:i/>
                <w:iCs/>
                <w:color w:val="0070C0"/>
              </w:rPr>
            </w:pPr>
          </w:p>
          <w:p w14:paraId="398F2A98" w14:textId="1CAA5A17" w:rsidR="005232CB" w:rsidRPr="00E14275" w:rsidRDefault="00AD2937" w:rsidP="00AD2937">
            <w:pPr>
              <w:spacing w:line="240" w:lineRule="auto"/>
              <w:rPr>
                <w:rFonts w:cstheme="minorHAnsi"/>
                <w:i/>
                <w:color w:val="0070C0"/>
              </w:rPr>
            </w:pPr>
            <w:r>
              <w:rPr>
                <w:rFonts w:cstheme="minorHAnsi"/>
                <w:b/>
                <w:bCs/>
                <w:i/>
                <w:iCs/>
                <w:color w:val="0070C0"/>
              </w:rPr>
              <w:t xml:space="preserve">2 - </w:t>
            </w:r>
            <w:r w:rsidR="005232CB" w:rsidRPr="00E14275">
              <w:rPr>
                <w:rFonts w:cstheme="minorHAnsi"/>
                <w:b/>
                <w:bCs/>
                <w:i/>
                <w:iCs/>
                <w:color w:val="0070C0"/>
              </w:rPr>
              <w:t>La subsidiarité en action</w:t>
            </w:r>
          </w:p>
        </w:tc>
        <w:tc>
          <w:tcPr>
            <w:tcW w:w="3047" w:type="dxa"/>
            <w:hideMark/>
          </w:tcPr>
          <w:p w14:paraId="27F19788" w14:textId="77777777" w:rsidR="00AD2937" w:rsidRDefault="00AD2937" w:rsidP="00AD2937">
            <w:pPr>
              <w:spacing w:line="240" w:lineRule="auto"/>
              <w:jc w:val="center"/>
              <w:rPr>
                <w:rFonts w:cstheme="minorHAnsi"/>
                <w:sz w:val="18"/>
                <w:szCs w:val="18"/>
              </w:rPr>
            </w:pPr>
          </w:p>
          <w:p w14:paraId="4461D951" w14:textId="77777777" w:rsidR="005232CB" w:rsidRPr="00E14275" w:rsidRDefault="005232CB" w:rsidP="00AD2937">
            <w:pPr>
              <w:spacing w:line="240" w:lineRule="auto"/>
              <w:jc w:val="center"/>
              <w:rPr>
                <w:rFonts w:cstheme="minorHAnsi"/>
                <w:sz w:val="18"/>
                <w:szCs w:val="18"/>
              </w:rPr>
            </w:pPr>
            <w:r w:rsidRPr="00E14275">
              <w:rPr>
                <w:rFonts w:cstheme="minorHAnsi"/>
                <w:sz w:val="18"/>
                <w:szCs w:val="18"/>
              </w:rPr>
              <w:t>Jean-François LABBE</w:t>
            </w:r>
          </w:p>
          <w:p w14:paraId="78DAD8EE" w14:textId="77777777" w:rsidR="005232CB" w:rsidRPr="00E14275" w:rsidRDefault="00AD2937" w:rsidP="00AD2937">
            <w:pPr>
              <w:spacing w:line="240" w:lineRule="auto"/>
              <w:jc w:val="center"/>
              <w:rPr>
                <w:rFonts w:cstheme="minorHAnsi"/>
                <w:sz w:val="18"/>
                <w:szCs w:val="18"/>
              </w:rPr>
            </w:pPr>
            <w:hyperlink r:id="rId6" w:history="1">
              <w:r w:rsidR="005232CB" w:rsidRPr="00E14275">
                <w:rPr>
                  <w:rStyle w:val="Lienhypertexte"/>
                  <w:rFonts w:cstheme="minorHAnsi"/>
                  <w:sz w:val="18"/>
                  <w:szCs w:val="18"/>
                </w:rPr>
                <w:t>jf.labbe@sfr.fr</w:t>
              </w:r>
            </w:hyperlink>
          </w:p>
        </w:tc>
        <w:tc>
          <w:tcPr>
            <w:tcW w:w="10206" w:type="dxa"/>
          </w:tcPr>
          <w:p w14:paraId="5216A89C" w14:textId="6177E0B3" w:rsidR="005232CB" w:rsidRPr="00E14275" w:rsidRDefault="005232CB" w:rsidP="00AD2937">
            <w:pPr>
              <w:spacing w:before="100" w:beforeAutospacing="1" w:after="100" w:afterAutospacing="1"/>
              <w:rPr>
                <w:rFonts w:cstheme="minorHAnsi"/>
                <w:sz w:val="20"/>
                <w:szCs w:val="20"/>
              </w:rPr>
            </w:pPr>
            <w:r w:rsidRPr="00E14275">
              <w:rPr>
                <w:rFonts w:cstheme="minorHAnsi"/>
                <w:bCs/>
                <w:i/>
                <w:iCs/>
                <w:sz w:val="20"/>
                <w:szCs w:val="20"/>
              </w:rPr>
              <w:t>Donner la responsabilité au plus petit niveau d’autorité compétent pour prendre les décisions adaptées. Une organisation subsidiaire nécessite un projet commun, un principe d’autonomie, un principe d’aide et de suppléance. Une telle organisation met l’homme au cœur du fonctionnement.</w:t>
            </w:r>
          </w:p>
        </w:tc>
      </w:tr>
      <w:tr w:rsidR="005232CB" w:rsidRPr="00E14275" w14:paraId="1CA098FF" w14:textId="77777777" w:rsidTr="00AD2937">
        <w:trPr>
          <w:trHeight w:val="1157"/>
        </w:trPr>
        <w:tc>
          <w:tcPr>
            <w:tcW w:w="2340" w:type="dxa"/>
            <w:hideMark/>
          </w:tcPr>
          <w:p w14:paraId="5C477DD0" w14:textId="4E4EEB76" w:rsidR="005232CB" w:rsidRPr="00E14275" w:rsidRDefault="00AD2937" w:rsidP="00AD2937">
            <w:pPr>
              <w:spacing w:line="240" w:lineRule="auto"/>
              <w:rPr>
                <w:rFonts w:eastAsia="Calibri" w:cstheme="minorHAnsi"/>
                <w:i/>
                <w:color w:val="000000"/>
                <w:lang w:eastAsia="fr-FR"/>
              </w:rPr>
            </w:pPr>
            <w:r>
              <w:rPr>
                <w:rFonts w:eastAsia="Calibri" w:cstheme="minorHAnsi"/>
                <w:b/>
                <w:bCs/>
                <w:i/>
                <w:iCs/>
                <w:color w:val="006FC9"/>
                <w:lang w:eastAsia="fr-FR"/>
              </w:rPr>
              <w:t xml:space="preserve">3 - </w:t>
            </w:r>
            <w:r w:rsidR="005232CB" w:rsidRPr="00E14275">
              <w:rPr>
                <w:rFonts w:eastAsia="Calibri" w:cstheme="minorHAnsi"/>
                <w:b/>
                <w:bCs/>
                <w:i/>
                <w:iCs/>
                <w:color w:val="006FC9"/>
                <w:lang w:eastAsia="fr-FR"/>
              </w:rPr>
              <w:t>Destination universelle des biens et nouvelles formes de propriété</w:t>
            </w:r>
          </w:p>
          <w:p w14:paraId="3DB28ABA" w14:textId="77777777" w:rsidR="005232CB" w:rsidRPr="00E14275" w:rsidRDefault="005232CB" w:rsidP="00AD2937">
            <w:pPr>
              <w:spacing w:line="240" w:lineRule="auto"/>
              <w:rPr>
                <w:rFonts w:cstheme="minorHAnsi"/>
                <w:i/>
                <w:color w:val="0070C0"/>
              </w:rPr>
            </w:pPr>
          </w:p>
        </w:tc>
        <w:tc>
          <w:tcPr>
            <w:tcW w:w="3047" w:type="dxa"/>
            <w:hideMark/>
          </w:tcPr>
          <w:p w14:paraId="0EEFFE0B" w14:textId="77777777" w:rsidR="00AD2937" w:rsidRDefault="00AD2937" w:rsidP="00AD2937">
            <w:pPr>
              <w:spacing w:line="240" w:lineRule="auto"/>
              <w:jc w:val="center"/>
              <w:rPr>
                <w:rFonts w:cstheme="minorHAnsi"/>
                <w:sz w:val="18"/>
                <w:szCs w:val="18"/>
              </w:rPr>
            </w:pPr>
          </w:p>
          <w:p w14:paraId="0580C635" w14:textId="77777777" w:rsidR="005232CB" w:rsidRPr="00E14275" w:rsidRDefault="005232CB" w:rsidP="00AD2937">
            <w:pPr>
              <w:spacing w:line="240" w:lineRule="auto"/>
              <w:jc w:val="center"/>
              <w:rPr>
                <w:rFonts w:cstheme="minorHAnsi"/>
                <w:sz w:val="18"/>
                <w:szCs w:val="18"/>
              </w:rPr>
            </w:pPr>
            <w:r w:rsidRPr="00E14275">
              <w:rPr>
                <w:rFonts w:cstheme="minorHAnsi"/>
                <w:sz w:val="18"/>
                <w:szCs w:val="18"/>
              </w:rPr>
              <w:t>Tanguy HUON de KERMADEC</w:t>
            </w:r>
          </w:p>
          <w:p w14:paraId="3840A16B" w14:textId="77777777" w:rsidR="005232CB" w:rsidRPr="00E14275" w:rsidRDefault="00AD2937" w:rsidP="00AD2937">
            <w:pPr>
              <w:spacing w:line="240" w:lineRule="auto"/>
              <w:jc w:val="center"/>
              <w:rPr>
                <w:rFonts w:cstheme="minorHAnsi"/>
                <w:sz w:val="18"/>
                <w:szCs w:val="18"/>
              </w:rPr>
            </w:pPr>
            <w:hyperlink r:id="rId7" w:history="1">
              <w:r w:rsidR="005232CB" w:rsidRPr="00E14275">
                <w:rPr>
                  <w:rStyle w:val="Lienhypertexte"/>
                  <w:rFonts w:cstheme="minorHAnsi"/>
                  <w:sz w:val="18"/>
                  <w:szCs w:val="18"/>
                </w:rPr>
                <w:t>tanguy.kermadec@sncf.fr</w:t>
              </w:r>
            </w:hyperlink>
          </w:p>
        </w:tc>
        <w:tc>
          <w:tcPr>
            <w:tcW w:w="10206" w:type="dxa"/>
            <w:hideMark/>
          </w:tcPr>
          <w:p w14:paraId="4BDC9923" w14:textId="77777777" w:rsidR="00AD2937" w:rsidRDefault="00AD2937" w:rsidP="00AD2937">
            <w:pPr>
              <w:spacing w:line="240" w:lineRule="auto"/>
              <w:rPr>
                <w:rFonts w:eastAsia="Calibri" w:cstheme="minorHAnsi"/>
                <w:i/>
                <w:iCs/>
                <w:sz w:val="20"/>
                <w:szCs w:val="20"/>
                <w:lang w:eastAsia="fr-FR"/>
              </w:rPr>
            </w:pPr>
          </w:p>
          <w:p w14:paraId="227D4842" w14:textId="77777777" w:rsidR="005232CB" w:rsidRPr="00E14275" w:rsidRDefault="005232CB" w:rsidP="00AD2937">
            <w:pPr>
              <w:spacing w:line="240" w:lineRule="auto"/>
              <w:rPr>
                <w:rFonts w:eastAsia="Calibri" w:cstheme="minorHAnsi"/>
                <w:sz w:val="20"/>
                <w:szCs w:val="20"/>
                <w:lang w:eastAsia="fr-FR"/>
              </w:rPr>
            </w:pPr>
            <w:r w:rsidRPr="00E14275">
              <w:rPr>
                <w:rFonts w:eastAsia="Calibri" w:cstheme="minorHAnsi"/>
                <w:i/>
                <w:iCs/>
                <w:sz w:val="20"/>
                <w:szCs w:val="20"/>
                <w:lang w:eastAsia="fr-FR"/>
              </w:rPr>
              <w:t>La pensée sociale chrétienne nous enseigne que « Dieu a destiné la terre et tout ce qu'elle contient à l'usage de tous les hommes et de tous les peuples, en sorte que les biens de la création doivent équitablement affluer entre les mains de tous, selon la règle de la justice, inséparable de la charité ». En tant qu'entrepreneur ou dirigeant chrétien, comment mettre en action cet enseignement ? L'arrivée en force du digital, nouvel espace de partage ou nouvel écueil ?</w:t>
            </w:r>
          </w:p>
          <w:p w14:paraId="3B49E345" w14:textId="77777777" w:rsidR="005232CB" w:rsidRPr="00E14275" w:rsidRDefault="005232CB" w:rsidP="00AD2937">
            <w:pPr>
              <w:spacing w:line="240" w:lineRule="auto"/>
              <w:rPr>
                <w:rFonts w:cstheme="minorHAnsi"/>
                <w:sz w:val="20"/>
                <w:szCs w:val="20"/>
              </w:rPr>
            </w:pPr>
          </w:p>
        </w:tc>
      </w:tr>
      <w:tr w:rsidR="005232CB" w:rsidRPr="00E14275" w14:paraId="700FCB50" w14:textId="77777777" w:rsidTr="00AD2937">
        <w:trPr>
          <w:trHeight w:val="738"/>
        </w:trPr>
        <w:tc>
          <w:tcPr>
            <w:tcW w:w="2340" w:type="dxa"/>
          </w:tcPr>
          <w:p w14:paraId="581A3AB0" w14:textId="44ABF62B" w:rsidR="005232CB" w:rsidRPr="00E14275" w:rsidRDefault="00AD2937" w:rsidP="00AD2937">
            <w:pPr>
              <w:spacing w:line="240" w:lineRule="auto"/>
              <w:rPr>
                <w:rFonts w:eastAsia="-webkit-standard" w:cstheme="minorHAnsi"/>
                <w:b/>
                <w:i/>
                <w:color w:val="0070C0"/>
              </w:rPr>
            </w:pPr>
            <w:r>
              <w:rPr>
                <w:rFonts w:cstheme="minorHAnsi"/>
                <w:b/>
                <w:i/>
                <w:color w:val="0070C0"/>
              </w:rPr>
              <w:t xml:space="preserve">4 - </w:t>
            </w:r>
            <w:r w:rsidR="00906D21" w:rsidRPr="00E14275">
              <w:rPr>
                <w:rFonts w:cstheme="minorHAnsi"/>
                <w:b/>
                <w:i/>
                <w:color w:val="0070C0"/>
              </w:rPr>
              <w:t>La fragilité comme chemin de progrès</w:t>
            </w:r>
          </w:p>
        </w:tc>
        <w:tc>
          <w:tcPr>
            <w:tcW w:w="3047" w:type="dxa"/>
            <w:hideMark/>
          </w:tcPr>
          <w:p w14:paraId="014A59CB" w14:textId="77777777" w:rsidR="005232CB" w:rsidRPr="00E14275" w:rsidRDefault="005232CB" w:rsidP="00AD2937">
            <w:pPr>
              <w:spacing w:line="240" w:lineRule="auto"/>
              <w:jc w:val="center"/>
              <w:rPr>
                <w:rFonts w:cstheme="minorHAnsi"/>
                <w:sz w:val="18"/>
                <w:szCs w:val="18"/>
              </w:rPr>
            </w:pPr>
            <w:r w:rsidRPr="00E14275">
              <w:rPr>
                <w:rFonts w:cstheme="minorHAnsi"/>
                <w:sz w:val="18"/>
                <w:szCs w:val="18"/>
              </w:rPr>
              <w:t>Hervé BAULME</w:t>
            </w:r>
          </w:p>
          <w:p w14:paraId="1C636AC9" w14:textId="77777777" w:rsidR="005232CB" w:rsidRPr="00E14275" w:rsidRDefault="00AD2937" w:rsidP="00AD2937">
            <w:pPr>
              <w:spacing w:line="240" w:lineRule="auto"/>
              <w:jc w:val="center"/>
              <w:rPr>
                <w:rFonts w:cstheme="minorHAnsi"/>
                <w:sz w:val="18"/>
                <w:szCs w:val="18"/>
              </w:rPr>
            </w:pPr>
            <w:hyperlink r:id="rId8" w:history="1">
              <w:r w:rsidR="005232CB" w:rsidRPr="00E14275">
                <w:rPr>
                  <w:rStyle w:val="Lienhypertexte"/>
                  <w:rFonts w:cstheme="minorHAnsi"/>
                  <w:sz w:val="18"/>
                  <w:szCs w:val="18"/>
                </w:rPr>
                <w:t>hbaulme@ecodair.org</w:t>
              </w:r>
            </w:hyperlink>
          </w:p>
        </w:tc>
        <w:tc>
          <w:tcPr>
            <w:tcW w:w="10206" w:type="dxa"/>
            <w:hideMark/>
          </w:tcPr>
          <w:p w14:paraId="495E908F" w14:textId="77777777" w:rsidR="00AD2937" w:rsidRDefault="00AD2937" w:rsidP="00AD2937">
            <w:pPr>
              <w:spacing w:line="240" w:lineRule="auto"/>
              <w:rPr>
                <w:rFonts w:eastAsia="Calibri" w:cstheme="minorHAnsi"/>
                <w:sz w:val="20"/>
                <w:szCs w:val="20"/>
              </w:rPr>
            </w:pPr>
          </w:p>
          <w:p w14:paraId="2D0450AD" w14:textId="77777777" w:rsidR="005232CB" w:rsidRPr="00E14275" w:rsidRDefault="005232CB" w:rsidP="00AD2937">
            <w:pPr>
              <w:spacing w:line="240" w:lineRule="auto"/>
              <w:rPr>
                <w:rFonts w:cstheme="minorHAnsi"/>
                <w:sz w:val="20"/>
                <w:szCs w:val="20"/>
              </w:rPr>
            </w:pPr>
            <w:r w:rsidRPr="00E14275">
              <w:rPr>
                <w:rFonts w:eastAsia="Calibri" w:cstheme="minorHAnsi"/>
                <w:sz w:val="20"/>
                <w:szCs w:val="20"/>
              </w:rPr>
              <w:t>Quelle place pour les plus fragiles dans nos entreprises ?</w:t>
            </w:r>
          </w:p>
          <w:p w14:paraId="1997CFE9" w14:textId="77777777" w:rsidR="005232CB" w:rsidRPr="00E14275" w:rsidRDefault="005232CB" w:rsidP="00AD2937">
            <w:pPr>
              <w:spacing w:line="240" w:lineRule="auto"/>
              <w:rPr>
                <w:rFonts w:eastAsia="Arial Narrow" w:cstheme="minorHAnsi"/>
                <w:sz w:val="20"/>
                <w:szCs w:val="20"/>
              </w:rPr>
            </w:pPr>
          </w:p>
        </w:tc>
      </w:tr>
      <w:tr w:rsidR="005232CB" w:rsidRPr="00E14275" w14:paraId="38EEA72E" w14:textId="77777777" w:rsidTr="00AD2937">
        <w:tc>
          <w:tcPr>
            <w:tcW w:w="2340" w:type="dxa"/>
            <w:hideMark/>
          </w:tcPr>
          <w:p w14:paraId="79EC10C7" w14:textId="77777777" w:rsidR="00AD2937" w:rsidRDefault="00AD2937" w:rsidP="00AD2937">
            <w:pPr>
              <w:spacing w:line="240" w:lineRule="auto"/>
              <w:rPr>
                <w:rFonts w:eastAsia="Calibri" w:cstheme="minorHAnsi"/>
                <w:b/>
                <w:bCs/>
                <w:i/>
                <w:color w:val="0070C0"/>
              </w:rPr>
            </w:pPr>
          </w:p>
          <w:p w14:paraId="704C96F4" w14:textId="77777777" w:rsidR="00AD2937" w:rsidRDefault="00AD2937" w:rsidP="00AD2937">
            <w:pPr>
              <w:spacing w:line="240" w:lineRule="auto"/>
              <w:rPr>
                <w:rFonts w:eastAsia="Calibri" w:cstheme="minorHAnsi"/>
                <w:b/>
                <w:bCs/>
                <w:i/>
                <w:color w:val="0070C0"/>
              </w:rPr>
            </w:pPr>
          </w:p>
          <w:p w14:paraId="28F79DF5" w14:textId="6D45A144" w:rsidR="005232CB" w:rsidRPr="00E14275" w:rsidRDefault="00AD2937" w:rsidP="00AD2937">
            <w:pPr>
              <w:spacing w:line="240" w:lineRule="auto"/>
              <w:rPr>
                <w:rFonts w:eastAsia="Calibri" w:cstheme="minorHAnsi"/>
                <w:i/>
              </w:rPr>
            </w:pPr>
            <w:r>
              <w:rPr>
                <w:rFonts w:eastAsia="Calibri" w:cstheme="minorHAnsi"/>
                <w:b/>
                <w:bCs/>
                <w:i/>
                <w:color w:val="0070C0"/>
              </w:rPr>
              <w:t xml:space="preserve">5 - </w:t>
            </w:r>
            <w:r w:rsidR="005232CB" w:rsidRPr="00E14275">
              <w:rPr>
                <w:rFonts w:eastAsia="Calibri" w:cstheme="minorHAnsi"/>
                <w:b/>
                <w:bCs/>
                <w:i/>
                <w:color w:val="0070C0"/>
              </w:rPr>
              <w:t>Protéger la maison commune, un défi pour les EDC ?</w:t>
            </w:r>
          </w:p>
          <w:p w14:paraId="3E7392CD" w14:textId="77777777" w:rsidR="005232CB" w:rsidRPr="00E14275" w:rsidRDefault="005232CB" w:rsidP="00AD2937">
            <w:pPr>
              <w:spacing w:line="240" w:lineRule="auto"/>
              <w:rPr>
                <w:rFonts w:cstheme="minorHAnsi"/>
                <w:i/>
                <w:color w:val="0070C0"/>
              </w:rPr>
            </w:pPr>
          </w:p>
        </w:tc>
        <w:tc>
          <w:tcPr>
            <w:tcW w:w="3047" w:type="dxa"/>
            <w:hideMark/>
          </w:tcPr>
          <w:p w14:paraId="72D3914B" w14:textId="77777777" w:rsidR="005232CB" w:rsidRPr="00E14275" w:rsidRDefault="005232CB" w:rsidP="00AD2937">
            <w:pPr>
              <w:spacing w:line="240" w:lineRule="auto"/>
              <w:jc w:val="center"/>
              <w:rPr>
                <w:rFonts w:cstheme="minorHAnsi"/>
                <w:sz w:val="18"/>
                <w:szCs w:val="18"/>
              </w:rPr>
            </w:pPr>
            <w:r w:rsidRPr="00E14275">
              <w:rPr>
                <w:rFonts w:cstheme="minorHAnsi"/>
                <w:sz w:val="18"/>
                <w:szCs w:val="18"/>
              </w:rPr>
              <w:t>Alexandre SEVENET</w:t>
            </w:r>
          </w:p>
          <w:p w14:paraId="3979EDBF" w14:textId="77777777" w:rsidR="005232CB" w:rsidRPr="00E14275" w:rsidRDefault="00AD2937" w:rsidP="00AD2937">
            <w:pPr>
              <w:spacing w:line="240" w:lineRule="auto"/>
              <w:jc w:val="center"/>
              <w:rPr>
                <w:rFonts w:cstheme="minorHAnsi"/>
                <w:sz w:val="18"/>
                <w:szCs w:val="18"/>
              </w:rPr>
            </w:pPr>
            <w:hyperlink r:id="rId9" w:history="1">
              <w:r w:rsidR="005232CB" w:rsidRPr="00E14275">
                <w:rPr>
                  <w:rStyle w:val="Lienhypertexte"/>
                  <w:rFonts w:cstheme="minorHAnsi"/>
                  <w:sz w:val="18"/>
                  <w:szCs w:val="18"/>
                </w:rPr>
                <w:t>alexandre.sevenet@laposte.net</w:t>
              </w:r>
            </w:hyperlink>
          </w:p>
        </w:tc>
        <w:tc>
          <w:tcPr>
            <w:tcW w:w="10206" w:type="dxa"/>
          </w:tcPr>
          <w:p w14:paraId="15A289D6" w14:textId="77777777" w:rsidR="005232CB" w:rsidRPr="00E14275" w:rsidRDefault="005232CB" w:rsidP="00AD2937">
            <w:pPr>
              <w:rPr>
                <w:rFonts w:cstheme="minorHAnsi"/>
                <w:sz w:val="20"/>
                <w:szCs w:val="20"/>
              </w:rPr>
            </w:pPr>
            <w:r w:rsidRPr="00E14275">
              <w:rPr>
                <w:rFonts w:cstheme="minorHAnsi"/>
                <w:sz w:val="20"/>
                <w:szCs w:val="20"/>
              </w:rPr>
              <w:t>Comment nous engager dans la voie de l’écologie intégrale prônée par le Pape François ?</w:t>
            </w:r>
          </w:p>
          <w:p w14:paraId="178E9B3B" w14:textId="77777777" w:rsidR="005232CB" w:rsidRPr="00E14275" w:rsidRDefault="005232CB" w:rsidP="00AD2937">
            <w:pPr>
              <w:rPr>
                <w:rFonts w:cstheme="minorHAnsi"/>
                <w:sz w:val="20"/>
                <w:szCs w:val="20"/>
              </w:rPr>
            </w:pPr>
            <w:r w:rsidRPr="00E14275">
              <w:rPr>
                <w:rFonts w:cstheme="minorHAnsi"/>
                <w:sz w:val="20"/>
                <w:szCs w:val="20"/>
              </w:rPr>
              <w:t xml:space="preserve">Grenelle de l’environnement, COP21, Loi sur la transition énergétique… Le </w:t>
            </w:r>
            <w:r w:rsidRPr="00E14275">
              <w:rPr>
                <w:rFonts w:cstheme="minorHAnsi"/>
                <w:bCs/>
                <w:sz w:val="20"/>
                <w:szCs w:val="20"/>
              </w:rPr>
              <w:t>dirigeant</w:t>
            </w:r>
            <w:r w:rsidRPr="00E14275">
              <w:rPr>
                <w:rFonts w:cstheme="minorHAnsi"/>
                <w:sz w:val="20"/>
                <w:szCs w:val="20"/>
              </w:rPr>
              <w:t xml:space="preserve"> fait face à de nombreuses stimulations liées à la maîtrise de l’énergie et la défense de l’environnement.</w:t>
            </w:r>
          </w:p>
          <w:p w14:paraId="54E5DAA8" w14:textId="77777777" w:rsidR="005232CB" w:rsidRPr="00E14275" w:rsidRDefault="005232CB" w:rsidP="00AD2937">
            <w:pPr>
              <w:rPr>
                <w:rFonts w:cstheme="minorHAnsi"/>
                <w:sz w:val="20"/>
                <w:szCs w:val="20"/>
              </w:rPr>
            </w:pPr>
            <w:r w:rsidRPr="00E14275">
              <w:rPr>
                <w:rFonts w:cstheme="minorHAnsi"/>
                <w:sz w:val="20"/>
                <w:szCs w:val="20"/>
              </w:rPr>
              <w:t xml:space="preserve">Le </w:t>
            </w:r>
            <w:r w:rsidRPr="00E14275">
              <w:rPr>
                <w:rFonts w:cstheme="minorHAnsi"/>
                <w:bCs/>
                <w:sz w:val="20"/>
                <w:szCs w:val="20"/>
              </w:rPr>
              <w:t>chrétien</w:t>
            </w:r>
            <w:r w:rsidRPr="00E14275">
              <w:rPr>
                <w:rFonts w:cstheme="minorHAnsi"/>
                <w:sz w:val="20"/>
                <w:szCs w:val="20"/>
              </w:rPr>
              <w:t xml:space="preserve"> également, avec la récente encyclique « </w:t>
            </w:r>
            <w:proofErr w:type="spellStart"/>
            <w:r w:rsidRPr="00E14275">
              <w:rPr>
                <w:rFonts w:cstheme="minorHAnsi"/>
                <w:sz w:val="20"/>
                <w:szCs w:val="20"/>
              </w:rPr>
              <w:t>Laudato</w:t>
            </w:r>
            <w:proofErr w:type="spellEnd"/>
            <w:r w:rsidRPr="00E14275">
              <w:rPr>
                <w:rFonts w:cstheme="minorHAnsi"/>
                <w:sz w:val="20"/>
                <w:szCs w:val="20"/>
              </w:rPr>
              <w:t xml:space="preserve"> si » précédée de huit ans par « La création au risque de l’environnement » de la Conférence des Evêques de France. </w:t>
            </w:r>
          </w:p>
          <w:p w14:paraId="11025007" w14:textId="77777777" w:rsidR="005232CB" w:rsidRPr="00E14275" w:rsidRDefault="005232CB" w:rsidP="00AD2937">
            <w:pPr>
              <w:rPr>
                <w:rFonts w:cstheme="minorHAnsi"/>
                <w:sz w:val="20"/>
                <w:szCs w:val="20"/>
              </w:rPr>
            </w:pPr>
            <w:r w:rsidRPr="00E14275">
              <w:rPr>
                <w:rFonts w:cstheme="minorHAnsi"/>
                <w:sz w:val="20"/>
                <w:szCs w:val="20"/>
              </w:rPr>
              <w:t xml:space="preserve">Le </w:t>
            </w:r>
            <w:r w:rsidRPr="00E14275">
              <w:rPr>
                <w:rFonts w:cstheme="minorHAnsi"/>
                <w:bCs/>
                <w:sz w:val="20"/>
                <w:szCs w:val="20"/>
              </w:rPr>
              <w:t>dirigeant</w:t>
            </w:r>
            <w:r w:rsidRPr="00E14275">
              <w:rPr>
                <w:rFonts w:cstheme="minorHAnsi"/>
                <w:sz w:val="20"/>
                <w:szCs w:val="20"/>
              </w:rPr>
              <w:t xml:space="preserve"> </w:t>
            </w:r>
            <w:r w:rsidRPr="00E14275">
              <w:rPr>
                <w:rFonts w:cstheme="minorHAnsi"/>
                <w:bCs/>
                <w:sz w:val="20"/>
                <w:szCs w:val="20"/>
              </w:rPr>
              <w:t>chrétien</w:t>
            </w:r>
            <w:r w:rsidRPr="00E14275">
              <w:rPr>
                <w:rFonts w:cstheme="minorHAnsi"/>
                <w:sz w:val="20"/>
                <w:szCs w:val="20"/>
              </w:rPr>
              <w:t xml:space="preserve"> est pris sous un feu croisé !</w:t>
            </w:r>
          </w:p>
          <w:p w14:paraId="20C4CCB9" w14:textId="77777777" w:rsidR="005232CB" w:rsidRPr="00E14275" w:rsidRDefault="005232CB" w:rsidP="00AD2937">
            <w:pPr>
              <w:rPr>
                <w:rFonts w:cstheme="minorHAnsi"/>
                <w:sz w:val="20"/>
                <w:szCs w:val="20"/>
              </w:rPr>
            </w:pPr>
            <w:r w:rsidRPr="00E14275">
              <w:rPr>
                <w:rFonts w:cstheme="minorHAnsi"/>
                <w:sz w:val="20"/>
                <w:szCs w:val="20"/>
              </w:rPr>
              <w:t xml:space="preserve"> Quelles pratiques adopter pour rendre nos entreprises propres et durables ?</w:t>
            </w:r>
          </w:p>
        </w:tc>
      </w:tr>
      <w:tr w:rsidR="00AD2937" w:rsidRPr="00E14275" w14:paraId="077DA6A9" w14:textId="77777777" w:rsidTr="00AD2937">
        <w:tc>
          <w:tcPr>
            <w:tcW w:w="2340" w:type="dxa"/>
            <w:hideMark/>
          </w:tcPr>
          <w:p w14:paraId="6133C036" w14:textId="2348AAB0" w:rsidR="00AD2937" w:rsidRPr="00E14275" w:rsidRDefault="00AD2937" w:rsidP="00AD2937">
            <w:pPr>
              <w:spacing w:line="240" w:lineRule="auto"/>
              <w:rPr>
                <w:rFonts w:cstheme="minorHAnsi"/>
                <w:i/>
                <w:color w:val="0070C0"/>
              </w:rPr>
            </w:pPr>
            <w:r>
              <w:rPr>
                <w:rFonts w:cstheme="minorHAnsi"/>
                <w:b/>
                <w:bCs/>
                <w:i/>
                <w:iCs/>
                <w:color w:val="0070C0"/>
              </w:rPr>
              <w:t xml:space="preserve">6 - </w:t>
            </w:r>
            <w:r w:rsidRPr="00E14275">
              <w:rPr>
                <w:rFonts w:cstheme="minorHAnsi"/>
                <w:b/>
                <w:bCs/>
                <w:i/>
                <w:iCs/>
                <w:color w:val="0070C0"/>
              </w:rPr>
              <w:t>L’altérité Hommes-Femmes chez les Entrepreneurs et chez les Dirigeants Chrétiens : une bonne nouvelle ?!</w:t>
            </w:r>
            <w:r w:rsidRPr="00E14275">
              <w:rPr>
                <w:rFonts w:cstheme="minorHAnsi"/>
                <w:bCs/>
                <w:i/>
                <w:iCs/>
                <w:color w:val="0070C0"/>
              </w:rPr>
              <w:t xml:space="preserve"> </w:t>
            </w:r>
          </w:p>
        </w:tc>
        <w:tc>
          <w:tcPr>
            <w:tcW w:w="3047" w:type="dxa"/>
            <w:hideMark/>
          </w:tcPr>
          <w:p w14:paraId="199D487C" w14:textId="77777777" w:rsidR="00AD2937" w:rsidRDefault="00AD2937" w:rsidP="00AD2937">
            <w:pPr>
              <w:spacing w:line="240" w:lineRule="auto"/>
              <w:jc w:val="center"/>
              <w:rPr>
                <w:rFonts w:cstheme="minorHAnsi"/>
                <w:sz w:val="18"/>
                <w:szCs w:val="18"/>
              </w:rPr>
            </w:pPr>
          </w:p>
          <w:p w14:paraId="1961C6D0" w14:textId="77777777" w:rsidR="00AD2937" w:rsidRPr="00E14275" w:rsidRDefault="00AD2937" w:rsidP="00AD2937">
            <w:pPr>
              <w:spacing w:line="240" w:lineRule="auto"/>
              <w:jc w:val="center"/>
              <w:rPr>
                <w:rFonts w:cstheme="minorHAnsi"/>
                <w:sz w:val="18"/>
                <w:szCs w:val="18"/>
              </w:rPr>
            </w:pPr>
            <w:r w:rsidRPr="00E14275">
              <w:rPr>
                <w:rFonts w:cstheme="minorHAnsi"/>
                <w:sz w:val="18"/>
                <w:szCs w:val="18"/>
              </w:rPr>
              <w:t>Laure MOUNIER et Anne de BLIGNIERES</w:t>
            </w:r>
          </w:p>
          <w:p w14:paraId="5714E251" w14:textId="77777777" w:rsidR="00AD2937" w:rsidRPr="00E14275" w:rsidRDefault="00AD2937" w:rsidP="00AD2937">
            <w:pPr>
              <w:spacing w:line="240" w:lineRule="auto"/>
              <w:jc w:val="center"/>
              <w:rPr>
                <w:rFonts w:cstheme="minorHAnsi"/>
                <w:sz w:val="18"/>
                <w:szCs w:val="18"/>
              </w:rPr>
            </w:pPr>
            <w:hyperlink r:id="rId10" w:history="1">
              <w:r w:rsidRPr="00E14275">
                <w:rPr>
                  <w:rStyle w:val="Lienhypertexte"/>
                  <w:rFonts w:cstheme="minorHAnsi"/>
                  <w:sz w:val="18"/>
                  <w:szCs w:val="18"/>
                </w:rPr>
                <w:t>laure.mounier@mailhec.com</w:t>
              </w:r>
            </w:hyperlink>
          </w:p>
          <w:p w14:paraId="573B2593" w14:textId="77777777" w:rsidR="00AD2937" w:rsidRPr="00E14275" w:rsidRDefault="00AD2937" w:rsidP="00AD2937">
            <w:pPr>
              <w:spacing w:line="240" w:lineRule="auto"/>
              <w:jc w:val="center"/>
              <w:rPr>
                <w:rFonts w:cstheme="minorHAnsi"/>
                <w:sz w:val="18"/>
                <w:szCs w:val="18"/>
              </w:rPr>
            </w:pPr>
            <w:hyperlink r:id="rId11" w:history="1">
              <w:r w:rsidRPr="00E14275">
                <w:rPr>
                  <w:rStyle w:val="Lienhypertexte"/>
                  <w:rFonts w:cstheme="minorHAnsi"/>
                  <w:sz w:val="18"/>
                  <w:szCs w:val="18"/>
                </w:rPr>
                <w:t>anne.deblignieres@caissedesdepots.fr</w:t>
              </w:r>
            </w:hyperlink>
          </w:p>
        </w:tc>
        <w:tc>
          <w:tcPr>
            <w:tcW w:w="10206" w:type="dxa"/>
          </w:tcPr>
          <w:p w14:paraId="748D96BB" w14:textId="77777777" w:rsidR="00AD2937" w:rsidRDefault="00AD2937" w:rsidP="00AD2937">
            <w:pPr>
              <w:pStyle w:val="NormalWeb"/>
              <w:rPr>
                <w:rFonts w:asciiTheme="minorHAnsi" w:eastAsia="Calibri" w:hAnsiTheme="minorHAnsi" w:cstheme="minorHAnsi"/>
                <w:sz w:val="20"/>
                <w:szCs w:val="20"/>
                <w:u w:val="single"/>
              </w:rPr>
            </w:pPr>
          </w:p>
          <w:p w14:paraId="76DC6869" w14:textId="77777777" w:rsidR="00AD2937" w:rsidRDefault="00AD2937" w:rsidP="00AD2937">
            <w:pPr>
              <w:pStyle w:val="NormalWeb"/>
              <w:rPr>
                <w:rFonts w:asciiTheme="minorHAnsi" w:eastAsia="Calibri" w:hAnsiTheme="minorHAnsi" w:cstheme="minorHAnsi"/>
                <w:sz w:val="20"/>
                <w:szCs w:val="20"/>
                <w:u w:val="single"/>
              </w:rPr>
            </w:pPr>
          </w:p>
          <w:p w14:paraId="131D64AD" w14:textId="77777777" w:rsidR="00AD2937" w:rsidRPr="00E14275" w:rsidRDefault="00AD2937" w:rsidP="00AD2937">
            <w:pPr>
              <w:pStyle w:val="NormalWeb"/>
              <w:rPr>
                <w:rFonts w:asciiTheme="minorHAnsi" w:eastAsia="Calibri" w:hAnsiTheme="minorHAnsi" w:cstheme="minorHAnsi"/>
                <w:sz w:val="20"/>
                <w:szCs w:val="20"/>
              </w:rPr>
            </w:pPr>
            <w:r w:rsidRPr="00E14275">
              <w:rPr>
                <w:rFonts w:asciiTheme="minorHAnsi" w:eastAsia="Calibri" w:hAnsiTheme="minorHAnsi" w:cstheme="minorHAnsi"/>
                <w:sz w:val="20"/>
                <w:szCs w:val="20"/>
                <w:u w:val="single"/>
              </w:rPr>
              <w:t xml:space="preserve">Sous-titre </w:t>
            </w:r>
            <w:r w:rsidRPr="00E14275">
              <w:rPr>
                <w:rFonts w:asciiTheme="minorHAnsi" w:eastAsia="Calibri" w:hAnsiTheme="minorHAnsi" w:cstheme="minorHAnsi"/>
                <w:sz w:val="20"/>
                <w:szCs w:val="20"/>
              </w:rPr>
              <w:t>: "</w:t>
            </w:r>
            <w:r w:rsidRPr="00E14275">
              <w:rPr>
                <w:rFonts w:asciiTheme="minorHAnsi" w:eastAsia="Calibri" w:hAnsiTheme="minorHAnsi" w:cstheme="minorHAnsi"/>
                <w:i/>
                <w:iCs/>
                <w:sz w:val="20"/>
                <w:szCs w:val="20"/>
              </w:rPr>
              <w:t>« Dieu créa l’homme à Son image, homme et femme, Il les créa</w:t>
            </w:r>
            <w:r w:rsidRPr="00E14275">
              <w:rPr>
                <w:rStyle w:val="Accentuation"/>
                <w:rFonts w:asciiTheme="minorHAnsi" w:eastAsia="Calibri" w:hAnsiTheme="minorHAnsi" w:cstheme="minorHAnsi"/>
                <w:sz w:val="20"/>
                <w:szCs w:val="20"/>
              </w:rPr>
              <w:t>»</w:t>
            </w:r>
            <w:r w:rsidRPr="00E14275">
              <w:rPr>
                <w:rFonts w:asciiTheme="minorHAnsi" w:eastAsia="Calibri" w:hAnsiTheme="minorHAnsi" w:cstheme="minorHAnsi"/>
                <w:sz w:val="20"/>
                <w:szCs w:val="20"/>
              </w:rPr>
              <w:t xml:space="preserve">. Quelle complémentarité Homme-Femme y </w:t>
            </w:r>
            <w:proofErr w:type="spellStart"/>
            <w:r w:rsidRPr="00E14275">
              <w:rPr>
                <w:rFonts w:asciiTheme="minorHAnsi" w:eastAsia="Calibri" w:hAnsiTheme="minorHAnsi" w:cstheme="minorHAnsi"/>
                <w:sz w:val="20"/>
                <w:szCs w:val="20"/>
              </w:rPr>
              <w:t>a-t-il</w:t>
            </w:r>
            <w:proofErr w:type="spellEnd"/>
            <w:r w:rsidRPr="00E14275">
              <w:rPr>
                <w:rFonts w:asciiTheme="minorHAnsi" w:eastAsia="Calibri" w:hAnsiTheme="minorHAnsi" w:cstheme="minorHAnsi"/>
                <w:sz w:val="20"/>
                <w:szCs w:val="20"/>
              </w:rPr>
              <w:t xml:space="preserve"> pour un dirigeant chrétien ? Quelle fécondité est liée à cette </w:t>
            </w:r>
            <w:proofErr w:type="spellStart"/>
            <w:r w:rsidRPr="00E14275">
              <w:rPr>
                <w:rFonts w:asciiTheme="minorHAnsi" w:eastAsia="Calibri" w:hAnsiTheme="minorHAnsi" w:cstheme="minorHAnsi"/>
                <w:sz w:val="20"/>
                <w:szCs w:val="20"/>
              </w:rPr>
              <w:t>co</w:t>
            </w:r>
            <w:proofErr w:type="spellEnd"/>
            <w:r w:rsidRPr="00E14275">
              <w:rPr>
                <w:rFonts w:asciiTheme="minorHAnsi" w:eastAsia="Calibri" w:hAnsiTheme="minorHAnsi" w:cstheme="minorHAnsi"/>
                <w:sz w:val="20"/>
                <w:szCs w:val="20"/>
              </w:rPr>
              <w:t>-humanité fondamentale ? Comment la vivre dans nos entreprises et nos équipes EDC ?"</w:t>
            </w:r>
          </w:p>
          <w:p w14:paraId="69AC0661" w14:textId="77777777" w:rsidR="00AD2937" w:rsidRPr="00E14275" w:rsidRDefault="00AD2937" w:rsidP="00AD2937">
            <w:pPr>
              <w:spacing w:line="240" w:lineRule="auto"/>
              <w:rPr>
                <w:rFonts w:cstheme="minorHAnsi"/>
                <w:sz w:val="20"/>
                <w:szCs w:val="20"/>
              </w:rPr>
            </w:pPr>
          </w:p>
        </w:tc>
      </w:tr>
      <w:tr w:rsidR="005232CB" w:rsidRPr="00E14275" w14:paraId="3C62D07C" w14:textId="77777777" w:rsidTr="00AD2937">
        <w:tc>
          <w:tcPr>
            <w:tcW w:w="2340" w:type="dxa"/>
          </w:tcPr>
          <w:p w14:paraId="3C7F47A3" w14:textId="77777777" w:rsidR="00AD2937" w:rsidRDefault="00AD2937" w:rsidP="00AD2937">
            <w:pPr>
              <w:spacing w:line="240" w:lineRule="auto"/>
              <w:rPr>
                <w:rFonts w:eastAsia="Calibri" w:cstheme="minorHAnsi"/>
                <w:b/>
                <w:bCs/>
                <w:i/>
                <w:color w:val="0070C0"/>
              </w:rPr>
            </w:pPr>
          </w:p>
          <w:p w14:paraId="36905E9D" w14:textId="35C8D484" w:rsidR="005232CB" w:rsidRPr="00E14275" w:rsidRDefault="00AD2937" w:rsidP="00AD2937">
            <w:pPr>
              <w:spacing w:line="240" w:lineRule="auto"/>
              <w:rPr>
                <w:rFonts w:eastAsia="Calibri" w:cstheme="minorHAnsi"/>
                <w:b/>
                <w:bCs/>
                <w:i/>
                <w:color w:val="0070C0"/>
              </w:rPr>
            </w:pPr>
            <w:r>
              <w:rPr>
                <w:rFonts w:eastAsia="Calibri" w:cstheme="minorHAnsi"/>
                <w:b/>
                <w:bCs/>
                <w:i/>
                <w:color w:val="0070C0"/>
              </w:rPr>
              <w:t xml:space="preserve">7 - </w:t>
            </w:r>
            <w:r w:rsidR="005232CB" w:rsidRPr="00E14275">
              <w:rPr>
                <w:rFonts w:eastAsia="Calibri" w:cstheme="minorHAnsi"/>
                <w:b/>
                <w:bCs/>
                <w:i/>
                <w:color w:val="0070C0"/>
              </w:rPr>
              <w:t xml:space="preserve">Foi et </w:t>
            </w:r>
            <w:proofErr w:type="spellStart"/>
            <w:r w:rsidR="005232CB" w:rsidRPr="00E14275">
              <w:rPr>
                <w:rFonts w:eastAsia="Calibri" w:cstheme="minorHAnsi"/>
                <w:b/>
                <w:bCs/>
                <w:i/>
                <w:color w:val="0070C0"/>
              </w:rPr>
              <w:t>Transhumanisme</w:t>
            </w:r>
            <w:proofErr w:type="spellEnd"/>
            <w:r w:rsidR="005232CB" w:rsidRPr="00E14275">
              <w:rPr>
                <w:rFonts w:eastAsia="Calibri" w:cstheme="minorHAnsi"/>
                <w:b/>
                <w:bCs/>
                <w:i/>
                <w:color w:val="0070C0"/>
              </w:rPr>
              <w:t> : l'Homme réparé, l'Homme augmenté.</w:t>
            </w:r>
          </w:p>
          <w:p w14:paraId="5B8A6AC6" w14:textId="77777777" w:rsidR="005232CB" w:rsidRPr="00E14275" w:rsidRDefault="005232CB" w:rsidP="00AD2937">
            <w:pPr>
              <w:spacing w:line="240" w:lineRule="auto"/>
              <w:rPr>
                <w:rFonts w:cstheme="minorHAnsi"/>
                <w:b/>
                <w:bCs/>
                <w:i/>
                <w:iCs/>
                <w:color w:val="0070C0"/>
              </w:rPr>
            </w:pPr>
            <w:r w:rsidRPr="00E14275">
              <w:rPr>
                <w:rFonts w:eastAsia="Calibri" w:cstheme="minorHAnsi"/>
                <w:b/>
                <w:bCs/>
                <w:i/>
                <w:color w:val="0070C0"/>
              </w:rPr>
              <w:t>Le regard chrétien des EDC.</w:t>
            </w:r>
          </w:p>
        </w:tc>
        <w:tc>
          <w:tcPr>
            <w:tcW w:w="3047" w:type="dxa"/>
          </w:tcPr>
          <w:p w14:paraId="41F27E9C" w14:textId="77777777" w:rsidR="00AD2937" w:rsidRDefault="00AD2937" w:rsidP="00AD2937">
            <w:pPr>
              <w:spacing w:line="240" w:lineRule="auto"/>
              <w:jc w:val="center"/>
              <w:rPr>
                <w:rFonts w:cstheme="minorHAnsi"/>
                <w:sz w:val="18"/>
                <w:szCs w:val="18"/>
              </w:rPr>
            </w:pPr>
          </w:p>
          <w:p w14:paraId="682F218B" w14:textId="77777777" w:rsidR="005232CB" w:rsidRPr="00E14275" w:rsidRDefault="005232CB" w:rsidP="00AD2937">
            <w:pPr>
              <w:spacing w:line="240" w:lineRule="auto"/>
              <w:jc w:val="center"/>
              <w:rPr>
                <w:rFonts w:cstheme="minorHAnsi"/>
                <w:sz w:val="18"/>
                <w:szCs w:val="18"/>
              </w:rPr>
            </w:pPr>
            <w:r w:rsidRPr="00E14275">
              <w:rPr>
                <w:rFonts w:cstheme="minorHAnsi"/>
                <w:sz w:val="18"/>
                <w:szCs w:val="18"/>
              </w:rPr>
              <w:t>Jean-Philippe Caude</w:t>
            </w:r>
          </w:p>
          <w:p w14:paraId="7326B5BF" w14:textId="77777777" w:rsidR="005232CB" w:rsidRPr="00E14275" w:rsidRDefault="00AD2937" w:rsidP="00AD2937">
            <w:pPr>
              <w:spacing w:line="240" w:lineRule="auto"/>
              <w:jc w:val="center"/>
              <w:rPr>
                <w:rFonts w:cstheme="minorHAnsi"/>
                <w:sz w:val="18"/>
                <w:szCs w:val="18"/>
              </w:rPr>
            </w:pPr>
            <w:hyperlink r:id="rId12" w:history="1">
              <w:r w:rsidR="005232CB" w:rsidRPr="00E14275">
                <w:rPr>
                  <w:rStyle w:val="Lienhypertexte"/>
                  <w:rFonts w:cstheme="minorHAnsi"/>
                  <w:sz w:val="18"/>
                  <w:szCs w:val="18"/>
                </w:rPr>
                <w:t>jpc@caudemanagement.com</w:t>
              </w:r>
            </w:hyperlink>
          </w:p>
        </w:tc>
        <w:tc>
          <w:tcPr>
            <w:tcW w:w="10206" w:type="dxa"/>
          </w:tcPr>
          <w:p w14:paraId="2F1761F0" w14:textId="1CFD3D65" w:rsidR="005232CB" w:rsidRPr="00E14275" w:rsidRDefault="005232CB" w:rsidP="00AD2937">
            <w:pPr>
              <w:pStyle w:val="NormalWeb"/>
              <w:rPr>
                <w:rFonts w:asciiTheme="minorHAnsi" w:eastAsia="Calibri" w:hAnsiTheme="minorHAnsi" w:cstheme="minorHAnsi"/>
                <w:iCs/>
                <w:sz w:val="20"/>
                <w:szCs w:val="20"/>
              </w:rPr>
            </w:pPr>
            <w:r w:rsidRPr="00E14275">
              <w:rPr>
                <w:rFonts w:asciiTheme="minorHAnsi" w:eastAsia="Calibri" w:hAnsiTheme="minorHAnsi" w:cstheme="minorHAnsi"/>
                <w:iCs/>
                <w:sz w:val="20"/>
                <w:szCs w:val="20"/>
              </w:rPr>
              <w:t xml:space="preserve">Nanotechnologies, Biologie, Informatique et sciences Cognitives, la révolution </w:t>
            </w:r>
            <w:proofErr w:type="spellStart"/>
            <w:r w:rsidRPr="00E14275">
              <w:rPr>
                <w:rFonts w:asciiTheme="minorHAnsi" w:eastAsia="Calibri" w:hAnsiTheme="minorHAnsi" w:cstheme="minorHAnsi"/>
                <w:iCs/>
                <w:sz w:val="20"/>
                <w:szCs w:val="20"/>
              </w:rPr>
              <w:t>Transhumaniste</w:t>
            </w:r>
            <w:proofErr w:type="spellEnd"/>
            <w:r w:rsidRPr="00E14275">
              <w:rPr>
                <w:rFonts w:asciiTheme="minorHAnsi" w:eastAsia="Calibri" w:hAnsiTheme="minorHAnsi" w:cstheme="minorHAnsi"/>
                <w:iCs/>
                <w:sz w:val="20"/>
                <w:szCs w:val="20"/>
              </w:rPr>
              <w:t xml:space="preserve"> aura des répercussions sur toutes les dimensions de notre société : morale, économi</w:t>
            </w:r>
            <w:r w:rsidR="00F848B4" w:rsidRPr="00E14275">
              <w:rPr>
                <w:rFonts w:asciiTheme="minorHAnsi" w:eastAsia="Calibri" w:hAnsiTheme="minorHAnsi" w:cstheme="minorHAnsi"/>
                <w:iCs/>
                <w:sz w:val="20"/>
                <w:szCs w:val="20"/>
              </w:rPr>
              <w:t>que, politique, sociale, ‘managé</w:t>
            </w:r>
            <w:r w:rsidRPr="00E14275">
              <w:rPr>
                <w:rFonts w:asciiTheme="minorHAnsi" w:eastAsia="Calibri" w:hAnsiTheme="minorHAnsi" w:cstheme="minorHAnsi"/>
                <w:iCs/>
                <w:sz w:val="20"/>
                <w:szCs w:val="20"/>
              </w:rPr>
              <w:t>riale’ et... religieuse.</w:t>
            </w:r>
          </w:p>
          <w:p w14:paraId="2F151047" w14:textId="77777777" w:rsidR="005232CB" w:rsidRPr="00E14275" w:rsidRDefault="005232CB" w:rsidP="00AD2937">
            <w:pPr>
              <w:pStyle w:val="NormalWeb"/>
              <w:rPr>
                <w:rFonts w:asciiTheme="minorHAnsi" w:eastAsia="Calibri" w:hAnsiTheme="minorHAnsi" w:cstheme="minorHAnsi"/>
                <w:iCs/>
                <w:sz w:val="20"/>
                <w:szCs w:val="20"/>
              </w:rPr>
            </w:pPr>
            <w:r w:rsidRPr="00E14275">
              <w:rPr>
                <w:rFonts w:asciiTheme="minorHAnsi" w:eastAsia="Calibri" w:hAnsiTheme="minorHAnsi" w:cstheme="minorHAnsi"/>
                <w:iCs/>
                <w:sz w:val="20"/>
                <w:szCs w:val="20"/>
              </w:rPr>
              <w:t>Bouleversant l’humanité, « la mort de la mort » annoncée préfigure-t-elle la mort de Dieu ? Quel regard porter sur la souffrance ?</w:t>
            </w:r>
          </w:p>
          <w:p w14:paraId="561E3056" w14:textId="12BCD5F7" w:rsidR="005232CB" w:rsidRDefault="005232CB" w:rsidP="00AD2937">
            <w:pPr>
              <w:pStyle w:val="NormalWeb"/>
              <w:rPr>
                <w:rFonts w:asciiTheme="minorHAnsi" w:eastAsia="Calibri" w:hAnsiTheme="minorHAnsi" w:cstheme="minorHAnsi"/>
                <w:iCs/>
                <w:sz w:val="20"/>
                <w:szCs w:val="20"/>
              </w:rPr>
            </w:pPr>
            <w:r w:rsidRPr="00E14275">
              <w:rPr>
                <w:rFonts w:asciiTheme="minorHAnsi" w:eastAsia="Calibri" w:hAnsiTheme="minorHAnsi" w:cstheme="minorHAnsi"/>
                <w:iCs/>
                <w:sz w:val="20"/>
                <w:szCs w:val="20"/>
              </w:rPr>
              <w:t xml:space="preserve">Un chrétien </w:t>
            </w:r>
            <w:proofErr w:type="spellStart"/>
            <w:r w:rsidR="00AD2937" w:rsidRPr="00E14275">
              <w:rPr>
                <w:rFonts w:asciiTheme="minorHAnsi" w:eastAsia="Calibri" w:hAnsiTheme="minorHAnsi" w:cstheme="minorHAnsi"/>
                <w:iCs/>
                <w:sz w:val="20"/>
                <w:szCs w:val="20"/>
              </w:rPr>
              <w:t>pourra-t-il</w:t>
            </w:r>
            <w:proofErr w:type="spellEnd"/>
            <w:r w:rsidRPr="00E14275">
              <w:rPr>
                <w:rFonts w:asciiTheme="minorHAnsi" w:eastAsia="Calibri" w:hAnsiTheme="minorHAnsi" w:cstheme="minorHAnsi"/>
                <w:iCs/>
                <w:sz w:val="20"/>
                <w:szCs w:val="20"/>
              </w:rPr>
              <w:t xml:space="preserve"> accepter une humanité à « deux vitesses » ?</w:t>
            </w:r>
          </w:p>
          <w:p w14:paraId="7B425FD1" w14:textId="44663F78" w:rsidR="005232CB" w:rsidRPr="00AD2937" w:rsidRDefault="005232CB" w:rsidP="00AD2937">
            <w:pPr>
              <w:pStyle w:val="NormalWeb"/>
              <w:rPr>
                <w:rFonts w:asciiTheme="minorHAnsi" w:eastAsia="Calibri" w:hAnsiTheme="minorHAnsi" w:cstheme="minorHAnsi"/>
                <w:iCs/>
                <w:sz w:val="20"/>
                <w:szCs w:val="20"/>
              </w:rPr>
            </w:pPr>
            <w:r w:rsidRPr="00E14275">
              <w:rPr>
                <w:rFonts w:asciiTheme="minorHAnsi" w:eastAsia="Calibri" w:hAnsiTheme="minorHAnsi" w:cstheme="minorHAnsi"/>
                <w:iCs/>
                <w:sz w:val="20"/>
                <w:szCs w:val="20"/>
              </w:rPr>
              <w:t xml:space="preserve">Porté par des acteurs économiques mondiaux, les « GAFA » aux USA, de plus gros encore en Chine, le </w:t>
            </w:r>
            <w:proofErr w:type="spellStart"/>
            <w:r w:rsidRPr="00E14275">
              <w:rPr>
                <w:rFonts w:asciiTheme="minorHAnsi" w:eastAsia="Calibri" w:hAnsiTheme="minorHAnsi" w:cstheme="minorHAnsi"/>
                <w:iCs/>
                <w:sz w:val="20"/>
                <w:szCs w:val="20"/>
              </w:rPr>
              <w:t>Transhumanisme</w:t>
            </w:r>
            <w:proofErr w:type="spellEnd"/>
            <w:r w:rsidRPr="00E14275">
              <w:rPr>
                <w:rFonts w:asciiTheme="minorHAnsi" w:eastAsia="Calibri" w:hAnsiTheme="minorHAnsi" w:cstheme="minorHAnsi"/>
                <w:iCs/>
                <w:sz w:val="20"/>
                <w:szCs w:val="20"/>
              </w:rPr>
              <w:t xml:space="preserve"> est affaire de « marché » ; nos enjeux, nos comportements d’Entrepreneurs en seront bouleversés</w:t>
            </w:r>
            <w:bookmarkStart w:id="0" w:name="_GoBack"/>
            <w:bookmarkEnd w:id="0"/>
          </w:p>
        </w:tc>
      </w:tr>
    </w:tbl>
    <w:p w14:paraId="58CB76E7" w14:textId="77777777" w:rsidR="005232CB" w:rsidRPr="00E14275" w:rsidRDefault="005232CB" w:rsidP="00AD2937">
      <w:pPr>
        <w:spacing w:after="0" w:line="240" w:lineRule="auto"/>
        <w:rPr>
          <w:rFonts w:cstheme="minorHAnsi"/>
          <w:b/>
          <w:i/>
          <w:iCs/>
          <w:color w:val="4472C4"/>
          <w:sz w:val="20"/>
          <w:szCs w:val="20"/>
        </w:rPr>
      </w:pPr>
    </w:p>
    <w:sectPr w:rsidR="005232CB" w:rsidRPr="00E14275" w:rsidSect="005232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47D63"/>
    <w:multiLevelType w:val="hybridMultilevel"/>
    <w:tmpl w:val="358A355E"/>
    <w:lvl w:ilvl="0" w:tplc="D446F790">
      <w:start w:val="1"/>
      <w:numFmt w:val="decimal"/>
      <w:lvlText w:val="%1."/>
      <w:lvlJc w:val="left"/>
      <w:pPr>
        <w:ind w:left="720" w:hanging="360"/>
      </w:pPr>
    </w:lvl>
    <w:lvl w:ilvl="1" w:tplc="0D806DAE">
      <w:start w:val="1"/>
      <w:numFmt w:val="lowerLetter"/>
      <w:lvlText w:val="%2."/>
      <w:lvlJc w:val="left"/>
      <w:pPr>
        <w:ind w:left="1440" w:hanging="360"/>
      </w:pPr>
    </w:lvl>
    <w:lvl w:ilvl="2" w:tplc="34B4516E">
      <w:start w:val="1"/>
      <w:numFmt w:val="lowerRoman"/>
      <w:lvlText w:val="%3."/>
      <w:lvlJc w:val="right"/>
      <w:pPr>
        <w:ind w:left="2160" w:hanging="180"/>
      </w:pPr>
    </w:lvl>
    <w:lvl w:ilvl="3" w:tplc="6B9EE500">
      <w:start w:val="1"/>
      <w:numFmt w:val="decimal"/>
      <w:lvlText w:val="%4."/>
      <w:lvlJc w:val="left"/>
      <w:pPr>
        <w:ind w:left="2880" w:hanging="360"/>
      </w:pPr>
    </w:lvl>
    <w:lvl w:ilvl="4" w:tplc="E84098B4">
      <w:start w:val="1"/>
      <w:numFmt w:val="lowerLetter"/>
      <w:lvlText w:val="%5."/>
      <w:lvlJc w:val="left"/>
      <w:pPr>
        <w:ind w:left="3600" w:hanging="360"/>
      </w:pPr>
    </w:lvl>
    <w:lvl w:ilvl="5" w:tplc="A9140BCA">
      <w:start w:val="1"/>
      <w:numFmt w:val="lowerRoman"/>
      <w:lvlText w:val="%6."/>
      <w:lvlJc w:val="right"/>
      <w:pPr>
        <w:ind w:left="4320" w:hanging="180"/>
      </w:pPr>
    </w:lvl>
    <w:lvl w:ilvl="6" w:tplc="93DA7B7A">
      <w:start w:val="1"/>
      <w:numFmt w:val="decimal"/>
      <w:lvlText w:val="%7."/>
      <w:lvlJc w:val="left"/>
      <w:pPr>
        <w:ind w:left="5040" w:hanging="360"/>
      </w:pPr>
    </w:lvl>
    <w:lvl w:ilvl="7" w:tplc="72D28632">
      <w:start w:val="1"/>
      <w:numFmt w:val="lowerLetter"/>
      <w:lvlText w:val="%8."/>
      <w:lvlJc w:val="left"/>
      <w:pPr>
        <w:ind w:left="5760" w:hanging="360"/>
      </w:pPr>
    </w:lvl>
    <w:lvl w:ilvl="8" w:tplc="925079FC">
      <w:start w:val="1"/>
      <w:numFmt w:val="lowerRoman"/>
      <w:lvlText w:val="%9."/>
      <w:lvlJc w:val="right"/>
      <w:pPr>
        <w:ind w:left="6480" w:hanging="180"/>
      </w:pPr>
    </w:lvl>
  </w:abstractNum>
  <w:abstractNum w:abstractNumId="1" w15:restartNumberingAfterBreak="0">
    <w:nsid w:val="66FE62E2"/>
    <w:multiLevelType w:val="hybridMultilevel"/>
    <w:tmpl w:val="8196E0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5F"/>
    <w:rsid w:val="00024511"/>
    <w:rsid w:val="000568A0"/>
    <w:rsid w:val="000A4EB5"/>
    <w:rsid w:val="000F04C1"/>
    <w:rsid w:val="00115231"/>
    <w:rsid w:val="00116401"/>
    <w:rsid w:val="00125F27"/>
    <w:rsid w:val="00126D38"/>
    <w:rsid w:val="001A687F"/>
    <w:rsid w:val="001D5524"/>
    <w:rsid w:val="001D68A3"/>
    <w:rsid w:val="001E7923"/>
    <w:rsid w:val="00206F4C"/>
    <w:rsid w:val="0021518F"/>
    <w:rsid w:val="00246577"/>
    <w:rsid w:val="0025060C"/>
    <w:rsid w:val="00276B51"/>
    <w:rsid w:val="002C5497"/>
    <w:rsid w:val="002D1A41"/>
    <w:rsid w:val="00305216"/>
    <w:rsid w:val="00321455"/>
    <w:rsid w:val="003976C3"/>
    <w:rsid w:val="003F2D54"/>
    <w:rsid w:val="004028D4"/>
    <w:rsid w:val="004061B4"/>
    <w:rsid w:val="00437E74"/>
    <w:rsid w:val="00440F8F"/>
    <w:rsid w:val="0048032A"/>
    <w:rsid w:val="00517BB0"/>
    <w:rsid w:val="005232CB"/>
    <w:rsid w:val="00603FA6"/>
    <w:rsid w:val="00676EA6"/>
    <w:rsid w:val="006C7DD9"/>
    <w:rsid w:val="006E1BB1"/>
    <w:rsid w:val="00755615"/>
    <w:rsid w:val="007B3C77"/>
    <w:rsid w:val="007E6FD7"/>
    <w:rsid w:val="007F18DB"/>
    <w:rsid w:val="007F7730"/>
    <w:rsid w:val="00811282"/>
    <w:rsid w:val="00815FA6"/>
    <w:rsid w:val="0081795F"/>
    <w:rsid w:val="00821DD1"/>
    <w:rsid w:val="0085410B"/>
    <w:rsid w:val="00906D21"/>
    <w:rsid w:val="0093092E"/>
    <w:rsid w:val="009368CC"/>
    <w:rsid w:val="0095698E"/>
    <w:rsid w:val="009E1266"/>
    <w:rsid w:val="00AB3D30"/>
    <w:rsid w:val="00AC137D"/>
    <w:rsid w:val="00AC4514"/>
    <w:rsid w:val="00AD2937"/>
    <w:rsid w:val="00AF31DB"/>
    <w:rsid w:val="00B34267"/>
    <w:rsid w:val="00B579A2"/>
    <w:rsid w:val="00BC38A4"/>
    <w:rsid w:val="00C0426F"/>
    <w:rsid w:val="00C81EE2"/>
    <w:rsid w:val="00C85AE3"/>
    <w:rsid w:val="00CD52B0"/>
    <w:rsid w:val="00CE5D08"/>
    <w:rsid w:val="00D03930"/>
    <w:rsid w:val="00D445B8"/>
    <w:rsid w:val="00D82BF9"/>
    <w:rsid w:val="00DB6FDF"/>
    <w:rsid w:val="00DC3D2E"/>
    <w:rsid w:val="00DC6CFF"/>
    <w:rsid w:val="00E07B03"/>
    <w:rsid w:val="00E14275"/>
    <w:rsid w:val="00E77F80"/>
    <w:rsid w:val="00EC664E"/>
    <w:rsid w:val="00F1387A"/>
    <w:rsid w:val="00F2765F"/>
    <w:rsid w:val="00F848B4"/>
    <w:rsid w:val="00FA2091"/>
    <w:rsid w:val="00FC0AE1"/>
    <w:rsid w:val="00FD510A"/>
    <w:rsid w:val="00FD619D"/>
    <w:rsid w:val="00FD6A19"/>
    <w:rsid w:val="329EA46E"/>
    <w:rsid w:val="40D4594C"/>
    <w:rsid w:val="499DD05A"/>
    <w:rsid w:val="79EE6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B4A0"/>
  <w15:chartTrackingRefBased/>
  <w15:docId w15:val="{6A9F31CF-D961-4181-8C34-AB8FEC21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765F"/>
    <w:rPr>
      <w:color w:val="0563C1" w:themeColor="hyperlink"/>
      <w:u w:val="single"/>
    </w:rPr>
  </w:style>
  <w:style w:type="table" w:styleId="Grilledutableau">
    <w:name w:val="Table Grid"/>
    <w:basedOn w:val="TableauNormal"/>
    <w:uiPriority w:val="39"/>
    <w:rsid w:val="004028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C38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38A4"/>
    <w:rPr>
      <w:rFonts w:ascii="Segoe UI" w:hAnsi="Segoe UI" w:cs="Segoe UI"/>
      <w:sz w:val="18"/>
      <w:szCs w:val="18"/>
    </w:rPr>
  </w:style>
  <w:style w:type="paragraph" w:styleId="NormalWeb">
    <w:name w:val="Normal (Web)"/>
    <w:basedOn w:val="Normal"/>
    <w:uiPriority w:val="99"/>
    <w:semiHidden/>
    <w:unhideWhenUsed/>
    <w:rsid w:val="004061B4"/>
    <w:pPr>
      <w:spacing w:after="0"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4061B4"/>
    <w:rPr>
      <w:i/>
      <w:iCs/>
    </w:rPr>
  </w:style>
  <w:style w:type="paragraph" w:styleId="Paragraphedeliste">
    <w:name w:val="List Paragraph"/>
    <w:basedOn w:val="Normal"/>
    <w:uiPriority w:val="34"/>
    <w:qFormat/>
    <w:rsid w:val="00D03930"/>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7624">
      <w:bodyDiv w:val="1"/>
      <w:marLeft w:val="0"/>
      <w:marRight w:val="0"/>
      <w:marTop w:val="0"/>
      <w:marBottom w:val="0"/>
      <w:divBdr>
        <w:top w:val="none" w:sz="0" w:space="0" w:color="auto"/>
        <w:left w:val="none" w:sz="0" w:space="0" w:color="auto"/>
        <w:bottom w:val="none" w:sz="0" w:space="0" w:color="auto"/>
        <w:right w:val="none" w:sz="0" w:space="0" w:color="auto"/>
      </w:divBdr>
    </w:div>
    <w:div w:id="816725664">
      <w:bodyDiv w:val="1"/>
      <w:marLeft w:val="0"/>
      <w:marRight w:val="0"/>
      <w:marTop w:val="0"/>
      <w:marBottom w:val="0"/>
      <w:divBdr>
        <w:top w:val="none" w:sz="0" w:space="0" w:color="auto"/>
        <w:left w:val="none" w:sz="0" w:space="0" w:color="auto"/>
        <w:bottom w:val="none" w:sz="0" w:space="0" w:color="auto"/>
        <w:right w:val="none" w:sz="0" w:space="0" w:color="auto"/>
      </w:divBdr>
    </w:div>
    <w:div w:id="945389429">
      <w:bodyDiv w:val="1"/>
      <w:marLeft w:val="0"/>
      <w:marRight w:val="0"/>
      <w:marTop w:val="0"/>
      <w:marBottom w:val="0"/>
      <w:divBdr>
        <w:top w:val="none" w:sz="0" w:space="0" w:color="auto"/>
        <w:left w:val="none" w:sz="0" w:space="0" w:color="auto"/>
        <w:bottom w:val="none" w:sz="0" w:space="0" w:color="auto"/>
        <w:right w:val="none" w:sz="0" w:space="0" w:color="auto"/>
      </w:divBdr>
    </w:div>
    <w:div w:id="1005202945">
      <w:bodyDiv w:val="1"/>
      <w:marLeft w:val="0"/>
      <w:marRight w:val="0"/>
      <w:marTop w:val="0"/>
      <w:marBottom w:val="0"/>
      <w:divBdr>
        <w:top w:val="none" w:sz="0" w:space="0" w:color="auto"/>
        <w:left w:val="none" w:sz="0" w:space="0" w:color="auto"/>
        <w:bottom w:val="none" w:sz="0" w:space="0" w:color="auto"/>
        <w:right w:val="none" w:sz="0" w:space="0" w:color="auto"/>
      </w:divBdr>
    </w:div>
    <w:div w:id="1088576349">
      <w:bodyDiv w:val="1"/>
      <w:marLeft w:val="0"/>
      <w:marRight w:val="0"/>
      <w:marTop w:val="0"/>
      <w:marBottom w:val="0"/>
      <w:divBdr>
        <w:top w:val="none" w:sz="0" w:space="0" w:color="auto"/>
        <w:left w:val="none" w:sz="0" w:space="0" w:color="auto"/>
        <w:bottom w:val="none" w:sz="0" w:space="0" w:color="auto"/>
        <w:right w:val="none" w:sz="0" w:space="0" w:color="auto"/>
      </w:divBdr>
    </w:div>
    <w:div w:id="1194225372">
      <w:bodyDiv w:val="1"/>
      <w:marLeft w:val="0"/>
      <w:marRight w:val="0"/>
      <w:marTop w:val="0"/>
      <w:marBottom w:val="0"/>
      <w:divBdr>
        <w:top w:val="none" w:sz="0" w:space="0" w:color="auto"/>
        <w:left w:val="none" w:sz="0" w:space="0" w:color="auto"/>
        <w:bottom w:val="none" w:sz="0" w:space="0" w:color="auto"/>
        <w:right w:val="none" w:sz="0" w:space="0" w:color="auto"/>
      </w:divBdr>
    </w:div>
    <w:div w:id="1242063738">
      <w:bodyDiv w:val="1"/>
      <w:marLeft w:val="0"/>
      <w:marRight w:val="0"/>
      <w:marTop w:val="0"/>
      <w:marBottom w:val="0"/>
      <w:divBdr>
        <w:top w:val="none" w:sz="0" w:space="0" w:color="auto"/>
        <w:left w:val="none" w:sz="0" w:space="0" w:color="auto"/>
        <w:bottom w:val="none" w:sz="0" w:space="0" w:color="auto"/>
        <w:right w:val="none" w:sz="0" w:space="0" w:color="auto"/>
      </w:divBdr>
    </w:div>
    <w:div w:id="1322351306">
      <w:bodyDiv w:val="1"/>
      <w:marLeft w:val="0"/>
      <w:marRight w:val="0"/>
      <w:marTop w:val="0"/>
      <w:marBottom w:val="0"/>
      <w:divBdr>
        <w:top w:val="none" w:sz="0" w:space="0" w:color="auto"/>
        <w:left w:val="none" w:sz="0" w:space="0" w:color="auto"/>
        <w:bottom w:val="none" w:sz="0" w:space="0" w:color="auto"/>
        <w:right w:val="none" w:sz="0" w:space="0" w:color="auto"/>
      </w:divBdr>
    </w:div>
    <w:div w:id="1392578902">
      <w:bodyDiv w:val="1"/>
      <w:marLeft w:val="0"/>
      <w:marRight w:val="0"/>
      <w:marTop w:val="0"/>
      <w:marBottom w:val="0"/>
      <w:divBdr>
        <w:top w:val="none" w:sz="0" w:space="0" w:color="auto"/>
        <w:left w:val="none" w:sz="0" w:space="0" w:color="auto"/>
        <w:bottom w:val="none" w:sz="0" w:space="0" w:color="auto"/>
        <w:right w:val="none" w:sz="0" w:space="0" w:color="auto"/>
      </w:divBdr>
    </w:div>
    <w:div w:id="1626037022">
      <w:bodyDiv w:val="1"/>
      <w:marLeft w:val="0"/>
      <w:marRight w:val="0"/>
      <w:marTop w:val="0"/>
      <w:marBottom w:val="0"/>
      <w:divBdr>
        <w:top w:val="none" w:sz="0" w:space="0" w:color="auto"/>
        <w:left w:val="none" w:sz="0" w:space="0" w:color="auto"/>
        <w:bottom w:val="none" w:sz="0" w:space="0" w:color="auto"/>
        <w:right w:val="none" w:sz="0" w:space="0" w:color="auto"/>
      </w:divBdr>
    </w:div>
    <w:div w:id="1827164334">
      <w:bodyDiv w:val="1"/>
      <w:marLeft w:val="0"/>
      <w:marRight w:val="0"/>
      <w:marTop w:val="0"/>
      <w:marBottom w:val="0"/>
      <w:divBdr>
        <w:top w:val="none" w:sz="0" w:space="0" w:color="auto"/>
        <w:left w:val="none" w:sz="0" w:space="0" w:color="auto"/>
        <w:bottom w:val="none" w:sz="0" w:space="0" w:color="auto"/>
        <w:right w:val="none" w:sz="0" w:space="0" w:color="auto"/>
      </w:divBdr>
    </w:div>
    <w:div w:id="19461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ulme@ecodai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guy.kermadec@sncf.fr" TargetMode="External"/><Relationship Id="rId12" Type="http://schemas.openxmlformats.org/officeDocument/2006/relationships/hyperlink" Target="mailto:jpc@caudemanag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labbe@sfr.fr" TargetMode="External"/><Relationship Id="rId11" Type="http://schemas.openxmlformats.org/officeDocument/2006/relationships/hyperlink" Target="mailto:anne.deblignieres@caissedesdepots.fr" TargetMode="External"/><Relationship Id="rId5" Type="http://schemas.openxmlformats.org/officeDocument/2006/relationships/hyperlink" Target="mailto:louisdugas@gmail.com" TargetMode="External"/><Relationship Id="rId10" Type="http://schemas.openxmlformats.org/officeDocument/2006/relationships/hyperlink" Target="mailto:laure.mounier@mailhec.com" TargetMode="External"/><Relationship Id="rId4" Type="http://schemas.openxmlformats.org/officeDocument/2006/relationships/webSettings" Target="webSettings.xml"/><Relationship Id="rId9" Type="http://schemas.openxmlformats.org/officeDocument/2006/relationships/hyperlink" Target="mailto:alexandre.sevenet@laposte.ne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Rideau</dc:creator>
  <cp:keywords/>
  <dc:description/>
  <cp:lastModifiedBy>Catherine Rideau</cp:lastModifiedBy>
  <cp:revision>2</cp:revision>
  <cp:lastPrinted>2017-03-07T11:25:00Z</cp:lastPrinted>
  <dcterms:created xsi:type="dcterms:W3CDTF">2017-03-07T11:26:00Z</dcterms:created>
  <dcterms:modified xsi:type="dcterms:W3CDTF">2017-03-07T11:26:00Z</dcterms:modified>
</cp:coreProperties>
</file>